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962FE7" w:rsidRPr="00962FE7" w14:paraId="243F9A0C" w14:textId="77777777" w:rsidTr="00AC6380">
        <w:trPr>
          <w:cantSplit/>
          <w:tblHeader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57F922" w14:textId="77777777" w:rsidR="00962FE7" w:rsidRPr="00962FE7" w:rsidRDefault="00962FE7" w:rsidP="00881253">
            <w:pPr>
              <w:spacing w:line="240" w:lineRule="auto"/>
              <w:ind w:firstLine="0"/>
              <w:rPr>
                <w:rFonts w:ascii="Calibri" w:hAnsi="Calibri" w:cs="Calibri"/>
                <w:kern w:val="0"/>
                <w:szCs w:val="24"/>
              </w:rPr>
            </w:pPr>
            <w:bookmarkStart w:id="0" w:name="SECTION_CTSESSION" w:colFirst="0" w:colLast="3"/>
          </w:p>
        </w:tc>
        <w:tc>
          <w:tcPr>
            <w:tcW w:w="4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FD7B46" w14:textId="77777777" w:rsidR="00962FE7" w:rsidRPr="00962FE7" w:rsidRDefault="00962FE7" w:rsidP="00881253">
            <w:pPr>
              <w:spacing w:line="240" w:lineRule="auto"/>
              <w:ind w:firstLine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962FE7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>
              <w:rPr>
                <w:rFonts w:ascii="Calibri" w:hAnsi="Calibri" w:cs="Calibri"/>
                <w:kern w:val="0"/>
                <w:szCs w:val="24"/>
              </w:rPr>
              <w:t>Local October Statuses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EF1CF" w14:textId="77777777" w:rsidR="00962FE7" w:rsidRPr="00962FE7" w:rsidRDefault="00962FE7" w:rsidP="00881253">
            <w:pPr>
              <w:spacing w:line="240" w:lineRule="auto"/>
              <w:ind w:firstLine="0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962FE7" w:rsidRPr="00962FE7" w14:paraId="241BA257" w14:textId="77777777" w:rsidTr="00AC6380">
        <w:tc>
          <w:tcPr>
            <w:tcW w:w="2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57DF9" w14:textId="77777777" w:rsidR="00962FE7" w:rsidRPr="00962FE7" w:rsidRDefault="00962FE7" w:rsidP="00881253">
            <w:pPr>
              <w:spacing w:line="240" w:lineRule="auto"/>
              <w:ind w:firstLine="0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BE9B76" w14:textId="77777777" w:rsidR="00962FE7" w:rsidRPr="00962FE7" w:rsidRDefault="00962FE7" w:rsidP="00881253">
            <w:pPr>
              <w:spacing w:line="240" w:lineRule="auto"/>
              <w:ind w:firstLine="0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5EEE2F" w14:textId="77777777" w:rsidR="00962FE7" w:rsidRPr="00962FE7" w:rsidRDefault="00962FE7" w:rsidP="00881253">
            <w:pPr>
              <w:spacing w:line="240" w:lineRule="auto"/>
              <w:ind w:firstLine="0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465A1" w14:textId="77777777" w:rsidR="00962FE7" w:rsidRPr="00962FE7" w:rsidRDefault="00962FE7" w:rsidP="00881253">
            <w:pPr>
              <w:spacing w:line="240" w:lineRule="auto"/>
              <w:ind w:firstLine="0"/>
              <w:rPr>
                <w:rFonts w:ascii="Calibri" w:hAnsi="Calibri" w:cs="Calibri"/>
                <w:kern w:val="0"/>
                <w:szCs w:val="24"/>
              </w:rPr>
            </w:pPr>
          </w:p>
        </w:tc>
      </w:tr>
    </w:tbl>
    <w:bookmarkEnd w:id="0"/>
    <w:p w14:paraId="532F96B5" w14:textId="77777777" w:rsidR="00962FE7" w:rsidRPr="00962FE7" w:rsidRDefault="00962FE7" w:rsidP="00881253">
      <w:pPr>
        <w:ind w:firstLine="0"/>
        <w:rPr>
          <w:sz w:val="2"/>
        </w:r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15F50600" w14:textId="77777777" w:rsidTr="00AC6380">
        <w:trPr>
          <w:cantSplit/>
        </w:trPr>
        <w:tc>
          <w:tcPr>
            <w:tcW w:w="1638" w:type="dxa"/>
          </w:tcPr>
          <w:p w14:paraId="63B572F2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L02690</w:t>
            </w:r>
          </w:p>
        </w:tc>
        <w:tc>
          <w:tcPr>
            <w:tcW w:w="7938" w:type="dxa"/>
          </w:tcPr>
          <w:p w14:paraId="43079BE9" w14:textId="1645C418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Wal-Mart Louisiana, LLC 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Jefferson Parish (Sales Tax)</w:t>
            </w:r>
          </w:p>
        </w:tc>
      </w:tr>
    </w:tbl>
    <w:p w14:paraId="73F3E4FF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4CAB8C75" w14:textId="77777777" w:rsidTr="00AC6380">
        <w:trPr>
          <w:cantSplit/>
        </w:trPr>
        <w:tc>
          <w:tcPr>
            <w:tcW w:w="1638" w:type="dxa"/>
          </w:tcPr>
          <w:p w14:paraId="6EA4F0E9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L01664</w:t>
            </w:r>
          </w:p>
        </w:tc>
        <w:tc>
          <w:tcPr>
            <w:tcW w:w="7938" w:type="dxa"/>
          </w:tcPr>
          <w:p w14:paraId="48BB1899" w14:textId="1C017DDC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Building Plastics, Inc.  vs. Richland Parish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(Sales Tax) &amp; Joe Banks Drywall &amp; Acoustics, Inc.</w:t>
            </w:r>
          </w:p>
        </w:tc>
      </w:tr>
    </w:tbl>
    <w:p w14:paraId="6C384D67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7D710BF1" w14:textId="77777777" w:rsidTr="00AC6380">
        <w:trPr>
          <w:cantSplit/>
        </w:trPr>
        <w:tc>
          <w:tcPr>
            <w:tcW w:w="1638" w:type="dxa"/>
          </w:tcPr>
          <w:p w14:paraId="46FE4DA5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L02772</w:t>
            </w:r>
          </w:p>
        </w:tc>
        <w:tc>
          <w:tcPr>
            <w:tcW w:w="7938" w:type="dxa"/>
          </w:tcPr>
          <w:p w14:paraId="24F59C11" w14:textId="2A793BC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Cain Construction and Designs, LLC vs. Orleans</w:t>
            </w:r>
            <w:r w:rsidR="001C1297">
              <w:rPr>
                <w:rFonts w:ascii="Calibri" w:hAnsi="Calibri" w:cs="Calibri"/>
                <w:kern w:val="0"/>
                <w:szCs w:val="24"/>
              </w:rPr>
              <w:t xml:space="preserve"> (Sales Tax)</w:t>
            </w:r>
          </w:p>
        </w:tc>
      </w:tr>
    </w:tbl>
    <w:p w14:paraId="74E41F99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7FC8C4E8" w14:textId="77777777" w:rsidTr="00AC6380">
        <w:trPr>
          <w:cantSplit/>
        </w:trPr>
        <w:tc>
          <w:tcPr>
            <w:tcW w:w="1638" w:type="dxa"/>
          </w:tcPr>
          <w:p w14:paraId="6E9D24F1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L02771</w:t>
            </w:r>
          </w:p>
        </w:tc>
        <w:tc>
          <w:tcPr>
            <w:tcW w:w="7938" w:type="dxa"/>
          </w:tcPr>
          <w:p w14:paraId="1D9F3534" w14:textId="2604B91A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Louisiana Energy Gateway LLC vs. Vernon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Parish (Property Tax)</w:t>
            </w:r>
          </w:p>
        </w:tc>
      </w:tr>
    </w:tbl>
    <w:p w14:paraId="54370140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0D759DC0" w14:textId="77777777" w:rsidTr="00AC6380">
        <w:trPr>
          <w:cantSplit/>
        </w:trPr>
        <w:tc>
          <w:tcPr>
            <w:tcW w:w="1638" w:type="dxa"/>
          </w:tcPr>
          <w:p w14:paraId="5D37CF96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L02769</w:t>
            </w:r>
          </w:p>
        </w:tc>
        <w:tc>
          <w:tcPr>
            <w:tcW w:w="7938" w:type="dxa"/>
          </w:tcPr>
          <w:p w14:paraId="41239771" w14:textId="3EE5944F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Louisiana Energy Gateway LLC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Vernon Parish (Property Tax)</w:t>
            </w:r>
          </w:p>
        </w:tc>
      </w:tr>
    </w:tbl>
    <w:p w14:paraId="74317E1A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214DBB74" w14:textId="77777777" w:rsidTr="00AC6380">
        <w:trPr>
          <w:cantSplit/>
        </w:trPr>
        <w:tc>
          <w:tcPr>
            <w:tcW w:w="1638" w:type="dxa"/>
          </w:tcPr>
          <w:p w14:paraId="29BFA3DB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L02662</w:t>
            </w:r>
          </w:p>
        </w:tc>
        <w:tc>
          <w:tcPr>
            <w:tcW w:w="7938" w:type="dxa"/>
          </w:tcPr>
          <w:p w14:paraId="37FDDE81" w14:textId="12F95CF1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Louisiana Energy Gateway LLC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DeSoto Parish (Property Tax)</w:t>
            </w:r>
          </w:p>
        </w:tc>
      </w:tr>
    </w:tbl>
    <w:p w14:paraId="3E1D1AA5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3837DE60" w14:textId="77777777" w:rsidTr="00AC6380">
        <w:trPr>
          <w:cantSplit/>
        </w:trPr>
        <w:tc>
          <w:tcPr>
            <w:tcW w:w="1638" w:type="dxa"/>
          </w:tcPr>
          <w:p w14:paraId="7D940D0C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L02030</w:t>
            </w:r>
          </w:p>
        </w:tc>
        <w:tc>
          <w:tcPr>
            <w:tcW w:w="7938" w:type="dxa"/>
          </w:tcPr>
          <w:p w14:paraId="33C56EC9" w14:textId="5C3B7602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ALDJCM LLC CLUB MSY  vs. JEFFERSON PARISH</w:t>
            </w:r>
            <w:r w:rsidR="001C1297">
              <w:rPr>
                <w:rFonts w:ascii="Calibri" w:hAnsi="Calibri" w:cs="Calibri"/>
                <w:kern w:val="0"/>
                <w:szCs w:val="24"/>
              </w:rPr>
              <w:t xml:space="preserve"> (Sales Tax)</w:t>
            </w:r>
          </w:p>
        </w:tc>
      </w:tr>
    </w:tbl>
    <w:p w14:paraId="525ADC0B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3E5FBF22" w14:textId="77777777" w:rsidTr="00AC6380">
        <w:trPr>
          <w:cantSplit/>
        </w:trPr>
        <w:tc>
          <w:tcPr>
            <w:tcW w:w="1638" w:type="dxa"/>
          </w:tcPr>
          <w:p w14:paraId="02B883AB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L02692</w:t>
            </w:r>
          </w:p>
        </w:tc>
        <w:tc>
          <w:tcPr>
            <w:tcW w:w="7938" w:type="dxa"/>
          </w:tcPr>
          <w:p w14:paraId="7B9FD949" w14:textId="7AD9AC36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Walgreen Louisiana Co., Inc. vs. Lafourche Parish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(</w:t>
            </w:r>
            <w:r>
              <w:rPr>
                <w:rFonts w:ascii="Calibri" w:hAnsi="Calibri" w:cs="Calibri"/>
                <w:kern w:val="0"/>
                <w:szCs w:val="24"/>
              </w:rPr>
              <w:t>Sales Tax</w:t>
            </w:r>
            <w:r w:rsidR="001C1297">
              <w:rPr>
                <w:rFonts w:ascii="Calibri" w:hAnsi="Calibri" w:cs="Calibri"/>
                <w:kern w:val="0"/>
                <w:szCs w:val="24"/>
              </w:rPr>
              <w:t>)</w:t>
            </w:r>
          </w:p>
        </w:tc>
      </w:tr>
    </w:tbl>
    <w:p w14:paraId="7A343E42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2DEC4F83" w14:textId="77777777" w:rsidTr="00AC6380">
        <w:trPr>
          <w:cantSplit/>
        </w:trPr>
        <w:tc>
          <w:tcPr>
            <w:tcW w:w="1638" w:type="dxa"/>
          </w:tcPr>
          <w:p w14:paraId="4145720C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L02569</w:t>
            </w:r>
          </w:p>
        </w:tc>
        <w:tc>
          <w:tcPr>
            <w:tcW w:w="7938" w:type="dxa"/>
          </w:tcPr>
          <w:p w14:paraId="20350ACE" w14:textId="1217462B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Bayou Crafting Company vs. LAFAYETTE PARISH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(Sales Tax)</w:t>
            </w:r>
          </w:p>
        </w:tc>
      </w:tr>
    </w:tbl>
    <w:p w14:paraId="5DB323CA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3F4896F5" w14:textId="77777777" w:rsidTr="00AC6380">
        <w:trPr>
          <w:cantSplit/>
        </w:trPr>
        <w:tc>
          <w:tcPr>
            <w:tcW w:w="1638" w:type="dxa"/>
          </w:tcPr>
          <w:p w14:paraId="3C70D5FF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L02451</w:t>
            </w:r>
          </w:p>
        </w:tc>
        <w:tc>
          <w:tcPr>
            <w:tcW w:w="7938" w:type="dxa"/>
          </w:tcPr>
          <w:p w14:paraId="4FCE7AC4" w14:textId="2042ECE1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West Jefferson Holdings, LLC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Jefferson Parish (Sales Tax)</w:t>
            </w:r>
          </w:p>
        </w:tc>
      </w:tr>
    </w:tbl>
    <w:p w14:paraId="5ED4021B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0745035A" w14:textId="77777777" w:rsidTr="00AC6380">
        <w:trPr>
          <w:cantSplit/>
        </w:trPr>
        <w:tc>
          <w:tcPr>
            <w:tcW w:w="1638" w:type="dxa"/>
          </w:tcPr>
          <w:p w14:paraId="06619C21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L01803</w:t>
            </w:r>
          </w:p>
        </w:tc>
        <w:tc>
          <w:tcPr>
            <w:tcW w:w="7938" w:type="dxa"/>
          </w:tcPr>
          <w:p w14:paraId="69AF5B0D" w14:textId="7D732135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The Folger Coffee Company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 xml:space="preserve">Orleans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(Property Tax)</w:t>
            </w:r>
          </w:p>
        </w:tc>
      </w:tr>
    </w:tbl>
    <w:p w14:paraId="7D9E504F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3D813833" w14:textId="77777777" w:rsidTr="00AC6380">
        <w:trPr>
          <w:cantSplit/>
        </w:trPr>
        <w:tc>
          <w:tcPr>
            <w:tcW w:w="1638" w:type="dxa"/>
          </w:tcPr>
          <w:p w14:paraId="3D7BE4E1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L02400</w:t>
            </w:r>
          </w:p>
        </w:tc>
        <w:tc>
          <w:tcPr>
            <w:tcW w:w="7938" w:type="dxa"/>
          </w:tcPr>
          <w:p w14:paraId="55086115" w14:textId="01472DAB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The Folger Coffee Company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Orleans (Property Tax)</w:t>
            </w:r>
          </w:p>
        </w:tc>
      </w:tr>
    </w:tbl>
    <w:p w14:paraId="2155C0A4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675B00B5" w14:textId="77777777" w:rsidTr="00AC6380">
        <w:trPr>
          <w:cantSplit/>
        </w:trPr>
        <w:tc>
          <w:tcPr>
            <w:tcW w:w="1638" w:type="dxa"/>
          </w:tcPr>
          <w:p w14:paraId="71CC0B52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L02214</w:t>
            </w:r>
          </w:p>
        </w:tc>
        <w:tc>
          <w:tcPr>
            <w:tcW w:w="7938" w:type="dxa"/>
          </w:tcPr>
          <w:p w14:paraId="3BDB4E63" w14:textId="4A4C066F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The Folger Coffee Company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Orleans (Property Tax)</w:t>
            </w:r>
          </w:p>
        </w:tc>
      </w:tr>
    </w:tbl>
    <w:p w14:paraId="29370A4E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4F00B8C9" w14:textId="77777777" w:rsidTr="00AC6380">
        <w:trPr>
          <w:cantSplit/>
        </w:trPr>
        <w:tc>
          <w:tcPr>
            <w:tcW w:w="1638" w:type="dxa"/>
          </w:tcPr>
          <w:p w14:paraId="3F93110D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L02028</w:t>
            </w:r>
          </w:p>
        </w:tc>
        <w:tc>
          <w:tcPr>
            <w:tcW w:w="7938" w:type="dxa"/>
          </w:tcPr>
          <w:p w14:paraId="0801FAD7" w14:textId="4545CF58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The Folger Coffee Company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Orleans (Property Tax)</w:t>
            </w:r>
          </w:p>
        </w:tc>
      </w:tr>
    </w:tbl>
    <w:p w14:paraId="69BDD713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392030BA" w14:textId="77777777" w:rsidTr="00AC6380">
        <w:trPr>
          <w:cantSplit/>
        </w:trPr>
        <w:tc>
          <w:tcPr>
            <w:tcW w:w="1638" w:type="dxa"/>
          </w:tcPr>
          <w:p w14:paraId="32F0EEDC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L02024</w:t>
            </w:r>
          </w:p>
        </w:tc>
        <w:tc>
          <w:tcPr>
            <w:tcW w:w="7938" w:type="dxa"/>
          </w:tcPr>
          <w:p w14:paraId="60084A88" w14:textId="312C10C4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The Folger Coffee Company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Orleans (Property Tax)</w:t>
            </w:r>
          </w:p>
        </w:tc>
      </w:tr>
    </w:tbl>
    <w:p w14:paraId="22FA29F0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1A0B4413" w14:textId="77777777" w:rsidTr="00AC6380">
        <w:trPr>
          <w:cantSplit/>
        </w:trPr>
        <w:tc>
          <w:tcPr>
            <w:tcW w:w="1638" w:type="dxa"/>
          </w:tcPr>
          <w:p w14:paraId="722791E9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L02216</w:t>
            </w:r>
          </w:p>
        </w:tc>
        <w:tc>
          <w:tcPr>
            <w:tcW w:w="7938" w:type="dxa"/>
          </w:tcPr>
          <w:p w14:paraId="73157A8C" w14:textId="0C41CE51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Entergy Louisiana, LLC vs. Calcasieu Parish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(</w:t>
            </w:r>
            <w:r>
              <w:rPr>
                <w:rFonts w:ascii="Calibri" w:hAnsi="Calibri" w:cs="Calibri"/>
                <w:kern w:val="0"/>
                <w:szCs w:val="24"/>
              </w:rPr>
              <w:t>Sales Tax</w:t>
            </w:r>
            <w:r w:rsidR="001C1297">
              <w:rPr>
                <w:rFonts w:ascii="Calibri" w:hAnsi="Calibri" w:cs="Calibri"/>
                <w:kern w:val="0"/>
                <w:szCs w:val="24"/>
              </w:rPr>
              <w:t>)</w:t>
            </w:r>
          </w:p>
        </w:tc>
      </w:tr>
    </w:tbl>
    <w:p w14:paraId="3D3F4014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017704B0" w14:textId="77777777" w:rsidTr="00AC6380">
        <w:trPr>
          <w:cantSplit/>
        </w:trPr>
        <w:tc>
          <w:tcPr>
            <w:tcW w:w="1638" w:type="dxa"/>
          </w:tcPr>
          <w:p w14:paraId="3E8A1B6E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L02212</w:t>
            </w:r>
          </w:p>
        </w:tc>
        <w:tc>
          <w:tcPr>
            <w:tcW w:w="7938" w:type="dxa"/>
          </w:tcPr>
          <w:p w14:paraId="534B0E78" w14:textId="7B4D7AE4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Wal-Mart Louisiana, LLC vs. St. John the Baptist Parish</w:t>
            </w:r>
            <w:r w:rsidR="001C1297">
              <w:rPr>
                <w:rFonts w:ascii="Calibri" w:hAnsi="Calibri" w:cs="Calibri"/>
                <w:kern w:val="0"/>
                <w:szCs w:val="24"/>
              </w:rPr>
              <w:t xml:space="preserve"> (Sales Tax)</w:t>
            </w:r>
          </w:p>
        </w:tc>
      </w:tr>
    </w:tbl>
    <w:p w14:paraId="4DFB876A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73F77CE1" w14:textId="77777777" w:rsidTr="00AC6380">
        <w:trPr>
          <w:cantSplit/>
        </w:trPr>
        <w:tc>
          <w:tcPr>
            <w:tcW w:w="1638" w:type="dxa"/>
          </w:tcPr>
          <w:p w14:paraId="4586BF2E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L02722</w:t>
            </w:r>
          </w:p>
        </w:tc>
        <w:tc>
          <w:tcPr>
            <w:tcW w:w="7938" w:type="dxa"/>
          </w:tcPr>
          <w:p w14:paraId="5D612C90" w14:textId="2FEEEAED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University Healthcare System, L.C. f/k/a LCMC Health Holdings, Inc. d.b.a. East Jefferson General Hospital vs. Jefferson Parish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(Sales Tax)</w:t>
            </w:r>
          </w:p>
        </w:tc>
      </w:tr>
    </w:tbl>
    <w:p w14:paraId="787ECB81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527CDBA8" w14:textId="77777777" w:rsidTr="00AC6380">
        <w:trPr>
          <w:cantSplit/>
        </w:trPr>
        <w:tc>
          <w:tcPr>
            <w:tcW w:w="1638" w:type="dxa"/>
          </w:tcPr>
          <w:p w14:paraId="33521929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L01560</w:t>
            </w:r>
          </w:p>
        </w:tc>
        <w:tc>
          <w:tcPr>
            <w:tcW w:w="7938" w:type="dxa"/>
          </w:tcPr>
          <w:p w14:paraId="6F9C1920" w14:textId="640D20C5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Wal-Mart Louisiana, LLC 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Orleans (Sales Tax)</w:t>
            </w:r>
          </w:p>
        </w:tc>
      </w:tr>
    </w:tbl>
    <w:p w14:paraId="1B039FC3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587BBBCB" w14:textId="77777777" w:rsidTr="00AC6380">
        <w:trPr>
          <w:cantSplit/>
        </w:trPr>
        <w:tc>
          <w:tcPr>
            <w:tcW w:w="1638" w:type="dxa"/>
          </w:tcPr>
          <w:p w14:paraId="7514CC9C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L02176</w:t>
            </w:r>
          </w:p>
        </w:tc>
        <w:tc>
          <w:tcPr>
            <w:tcW w:w="7938" w:type="dxa"/>
          </w:tcPr>
          <w:p w14:paraId="39FA7588" w14:textId="3857A401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Wal-Mart Louisiana, LLC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Orleans (Sales Tax)</w:t>
            </w:r>
          </w:p>
        </w:tc>
      </w:tr>
    </w:tbl>
    <w:p w14:paraId="1DE04F56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0DB14AEC" w14:textId="77777777" w:rsidTr="00AC6380">
        <w:trPr>
          <w:cantSplit/>
        </w:trPr>
        <w:tc>
          <w:tcPr>
            <w:tcW w:w="1638" w:type="dxa"/>
          </w:tcPr>
          <w:p w14:paraId="415061FF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L02516</w:t>
            </w:r>
          </w:p>
        </w:tc>
        <w:tc>
          <w:tcPr>
            <w:tcW w:w="7938" w:type="dxa"/>
          </w:tcPr>
          <w:p w14:paraId="43CC3F9D" w14:textId="69BF99AF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Ochsner Pharmacy and Wellness, LLC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Lafourche Parish (Sales Tax)</w:t>
            </w:r>
          </w:p>
        </w:tc>
      </w:tr>
    </w:tbl>
    <w:p w14:paraId="6593EDE3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7B6AED68" w14:textId="77777777" w:rsidTr="00AC6380">
        <w:trPr>
          <w:cantSplit/>
        </w:trPr>
        <w:tc>
          <w:tcPr>
            <w:tcW w:w="1638" w:type="dxa"/>
          </w:tcPr>
          <w:p w14:paraId="771A1978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L00880</w:t>
            </w:r>
          </w:p>
        </w:tc>
        <w:tc>
          <w:tcPr>
            <w:tcW w:w="7938" w:type="dxa"/>
          </w:tcPr>
          <w:p w14:paraId="3F500209" w14:textId="1CD3702E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Cain Construction and Designs, LLC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Orleans (Sales Tax)</w:t>
            </w:r>
          </w:p>
        </w:tc>
      </w:tr>
    </w:tbl>
    <w:p w14:paraId="50229C53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309657D1" w14:textId="77777777" w:rsidTr="00AC6380">
        <w:trPr>
          <w:cantSplit/>
        </w:trPr>
        <w:tc>
          <w:tcPr>
            <w:tcW w:w="1638" w:type="dxa"/>
          </w:tcPr>
          <w:p w14:paraId="5AD40B92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L02772</w:t>
            </w:r>
          </w:p>
        </w:tc>
        <w:tc>
          <w:tcPr>
            <w:tcW w:w="7938" w:type="dxa"/>
          </w:tcPr>
          <w:p w14:paraId="13CCBDB4" w14:textId="272FD732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Cain Construction and Designs, LLC vs.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Orleans (Sales Tax)</w:t>
            </w:r>
          </w:p>
        </w:tc>
      </w:tr>
    </w:tbl>
    <w:p w14:paraId="12B3B3F6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6EB29A88" w14:textId="77777777" w:rsidTr="00AC6380">
        <w:trPr>
          <w:cantSplit/>
        </w:trPr>
        <w:tc>
          <w:tcPr>
            <w:tcW w:w="1638" w:type="dxa"/>
          </w:tcPr>
          <w:p w14:paraId="130B9F57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L02548</w:t>
            </w:r>
          </w:p>
        </w:tc>
        <w:tc>
          <w:tcPr>
            <w:tcW w:w="7938" w:type="dxa"/>
          </w:tcPr>
          <w:p w14:paraId="3FEC7E35" w14:textId="296C01D1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River Rock Stone Works of Louisiana, Inc. vs. Lafayette Parish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(Sales Tax)</w:t>
            </w:r>
          </w:p>
        </w:tc>
      </w:tr>
    </w:tbl>
    <w:p w14:paraId="54DF4718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0AA76BCA" w14:textId="77777777" w:rsidTr="00AC6380">
        <w:trPr>
          <w:cantSplit/>
        </w:trPr>
        <w:tc>
          <w:tcPr>
            <w:tcW w:w="1638" w:type="dxa"/>
          </w:tcPr>
          <w:p w14:paraId="14B74EF2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L02549</w:t>
            </w:r>
          </w:p>
        </w:tc>
        <w:tc>
          <w:tcPr>
            <w:tcW w:w="7938" w:type="dxa"/>
          </w:tcPr>
          <w:p w14:paraId="575C4A9E" w14:textId="5096C354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Superior Surface Solutions, LLC vs. Lafayette Parish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(Sales Tax)</w:t>
            </w:r>
          </w:p>
        </w:tc>
      </w:tr>
    </w:tbl>
    <w:p w14:paraId="53DED66F" w14:textId="77777777" w:rsidR="00962FE7" w:rsidRPr="00962FE7" w:rsidRDefault="00962FE7" w:rsidP="00881253">
      <w:pPr>
        <w:ind w:firstLine="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938"/>
      </w:tblGrid>
      <w:tr w:rsidR="00962FE7" w:rsidRPr="00962FE7" w14:paraId="0DD55F0C" w14:textId="77777777" w:rsidTr="00AC6380">
        <w:trPr>
          <w:cantSplit/>
        </w:trPr>
        <w:tc>
          <w:tcPr>
            <w:tcW w:w="1638" w:type="dxa"/>
          </w:tcPr>
          <w:p w14:paraId="26D5470E" w14:textId="77777777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>L02565</w:t>
            </w:r>
          </w:p>
        </w:tc>
        <w:tc>
          <w:tcPr>
            <w:tcW w:w="7938" w:type="dxa"/>
          </w:tcPr>
          <w:p w14:paraId="5F1398AF" w14:textId="12E75AE5" w:rsidR="00962FE7" w:rsidRPr="00962FE7" w:rsidRDefault="00962FE7" w:rsidP="00881253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/>
                <w:kern w:val="0"/>
                <w:szCs w:val="24"/>
              </w:rPr>
              <w:t xml:space="preserve"> Karin Copley vs. Tangipahoa Parish </w:t>
            </w:r>
            <w:r w:rsidR="001C1297">
              <w:rPr>
                <w:rFonts w:ascii="Calibri" w:hAnsi="Calibri" w:cs="Calibri"/>
                <w:kern w:val="0"/>
                <w:szCs w:val="24"/>
              </w:rPr>
              <w:t>(Property Tax)</w:t>
            </w:r>
          </w:p>
        </w:tc>
      </w:tr>
    </w:tbl>
    <w:p w14:paraId="4DAC114C" w14:textId="6BCC8029" w:rsidR="0027664D" w:rsidRDefault="0027664D" w:rsidP="00881253">
      <w:pPr>
        <w:ind w:firstLine="0"/>
        <w:jc w:val="center"/>
        <w:rPr>
          <w:b/>
          <w:bCs/>
          <w:szCs w:val="24"/>
        </w:rPr>
      </w:pPr>
    </w:p>
    <w:p w14:paraId="1E2AE574" w14:textId="4951DB45" w:rsidR="001C1297" w:rsidRDefault="001C1297" w:rsidP="00881253">
      <w:pPr>
        <w:spacing w:line="240" w:lineRule="auto"/>
        <w:ind w:firstLine="0"/>
        <w:jc w:val="left"/>
        <w:rPr>
          <w:rFonts w:ascii="Calibri" w:hAnsi="Calibri" w:cs="Calibri"/>
          <w:b/>
          <w:bCs/>
          <w:szCs w:val="24"/>
        </w:rPr>
      </w:pPr>
      <w:r w:rsidRPr="001C1297">
        <w:rPr>
          <w:rFonts w:ascii="Calibri" w:hAnsi="Calibri" w:cs="Calibri"/>
          <w:b/>
          <w:bCs/>
          <w:szCs w:val="24"/>
        </w:rPr>
        <w:t xml:space="preserve">The party names and parenthetical descriptions above are shorthand and </w:t>
      </w:r>
      <w:r w:rsidR="00881253">
        <w:rPr>
          <w:rFonts w:ascii="Calibri" w:hAnsi="Calibri" w:cs="Calibri"/>
          <w:b/>
          <w:bCs/>
          <w:szCs w:val="24"/>
        </w:rPr>
        <w:t xml:space="preserve">are </w:t>
      </w:r>
      <w:r w:rsidRPr="001C1297">
        <w:rPr>
          <w:rFonts w:ascii="Calibri" w:hAnsi="Calibri" w:cs="Calibri"/>
          <w:b/>
          <w:bCs/>
          <w:szCs w:val="24"/>
        </w:rPr>
        <w:t xml:space="preserve">not </w:t>
      </w:r>
      <w:r w:rsidR="00881253">
        <w:rPr>
          <w:rFonts w:ascii="Calibri" w:hAnsi="Calibri" w:cs="Calibri"/>
          <w:b/>
          <w:bCs/>
          <w:szCs w:val="24"/>
        </w:rPr>
        <w:t xml:space="preserve">intended to </w:t>
      </w:r>
      <w:r w:rsidRPr="001C1297">
        <w:rPr>
          <w:rFonts w:ascii="Calibri" w:hAnsi="Calibri" w:cs="Calibri"/>
          <w:b/>
          <w:bCs/>
          <w:szCs w:val="24"/>
        </w:rPr>
        <w:t>accurately reflect the tax collectors and tax types involved.</w:t>
      </w:r>
    </w:p>
    <w:p w14:paraId="04A9865C" w14:textId="77777777" w:rsidR="00881253" w:rsidRDefault="00881253" w:rsidP="00881253">
      <w:pPr>
        <w:spacing w:line="240" w:lineRule="auto"/>
        <w:ind w:firstLine="0"/>
        <w:jc w:val="left"/>
        <w:rPr>
          <w:rFonts w:ascii="Calibri" w:hAnsi="Calibri" w:cs="Calibri"/>
          <w:b/>
          <w:bCs/>
          <w:szCs w:val="24"/>
        </w:rPr>
      </w:pPr>
    </w:p>
    <w:p w14:paraId="2A926A02" w14:textId="702F9347" w:rsidR="00881253" w:rsidRPr="001C1297" w:rsidRDefault="00881253" w:rsidP="00881253">
      <w:pPr>
        <w:spacing w:line="240" w:lineRule="auto"/>
        <w:ind w:firstLine="0"/>
        <w:jc w:val="left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This document should not be relied on in lieu of notices from the Board.</w:t>
      </w:r>
    </w:p>
    <w:sectPr w:rsidR="00881253" w:rsidRPr="001C1297" w:rsidSect="00962F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0D73E" w14:textId="77777777" w:rsidR="004B2329" w:rsidRDefault="004B2329" w:rsidP="00962FE7">
      <w:pPr>
        <w:spacing w:line="240" w:lineRule="auto"/>
      </w:pPr>
      <w:r>
        <w:separator/>
      </w:r>
    </w:p>
  </w:endnote>
  <w:endnote w:type="continuationSeparator" w:id="0">
    <w:p w14:paraId="487B87B2" w14:textId="77777777" w:rsidR="004B2329" w:rsidRDefault="004B2329" w:rsidP="0096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0F46" w14:textId="77777777" w:rsidR="001C1297" w:rsidRDefault="001C12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340"/>
      <w:gridCol w:w="2340"/>
      <w:gridCol w:w="2340"/>
      <w:gridCol w:w="2340"/>
    </w:tblGrid>
    <w:tr w:rsidR="00962FE7" w:rsidRPr="00962FE7" w14:paraId="740B2090" w14:textId="77777777" w:rsidTr="00AC6380">
      <w:tc>
        <w:tcPr>
          <w:tcW w:w="2394" w:type="dxa"/>
        </w:tcPr>
        <w:p w14:paraId="1D63B1E4" w14:textId="77777777" w:rsidR="00962FE7" w:rsidRPr="00962FE7" w:rsidRDefault="00962FE7" w:rsidP="00962FE7">
          <w:pPr>
            <w:spacing w:line="240" w:lineRule="auto"/>
            <w:ind w:firstLine="0"/>
            <w:rPr>
              <w:rFonts w:ascii="Calibri" w:hAnsi="Calibri" w:cs="Calibri"/>
              <w:kern w:val="0"/>
              <w:szCs w:val="24"/>
            </w:rPr>
          </w:pPr>
        </w:p>
      </w:tc>
      <w:tc>
        <w:tcPr>
          <w:tcW w:w="2394" w:type="dxa"/>
        </w:tcPr>
        <w:p w14:paraId="14AC478E" w14:textId="77777777" w:rsidR="00962FE7" w:rsidRPr="00962FE7" w:rsidRDefault="00962FE7" w:rsidP="00962FE7">
          <w:pPr>
            <w:spacing w:line="240" w:lineRule="auto"/>
            <w:ind w:firstLine="0"/>
            <w:rPr>
              <w:rFonts w:ascii="Calibri" w:hAnsi="Calibri" w:cs="Calibri"/>
              <w:kern w:val="0"/>
              <w:szCs w:val="24"/>
            </w:rPr>
          </w:pPr>
        </w:p>
      </w:tc>
      <w:tc>
        <w:tcPr>
          <w:tcW w:w="2394" w:type="dxa"/>
        </w:tcPr>
        <w:p w14:paraId="3041D041" w14:textId="77777777" w:rsidR="00962FE7" w:rsidRPr="00962FE7" w:rsidRDefault="00962FE7" w:rsidP="00962FE7">
          <w:pPr>
            <w:spacing w:line="240" w:lineRule="auto"/>
            <w:ind w:firstLine="0"/>
            <w:rPr>
              <w:rFonts w:ascii="Calibri" w:hAnsi="Calibri" w:cs="Calibri"/>
              <w:kern w:val="0"/>
              <w:szCs w:val="24"/>
            </w:rPr>
          </w:pPr>
        </w:p>
      </w:tc>
      <w:tc>
        <w:tcPr>
          <w:tcW w:w="2394" w:type="dxa"/>
        </w:tcPr>
        <w:p w14:paraId="67DF13E5" w14:textId="77777777" w:rsidR="00962FE7" w:rsidRPr="00962FE7" w:rsidRDefault="00962FE7" w:rsidP="00962FE7">
          <w:pPr>
            <w:spacing w:line="240" w:lineRule="auto"/>
            <w:ind w:firstLine="0"/>
            <w:rPr>
              <w:rFonts w:ascii="Calibri" w:hAnsi="Calibri" w:cs="Calibri"/>
              <w:kern w:val="0"/>
              <w:szCs w:val="24"/>
            </w:rPr>
          </w:pPr>
        </w:p>
      </w:tc>
    </w:tr>
  </w:tbl>
  <w:p w14:paraId="69ED357D" w14:textId="77777777" w:rsidR="00962FE7" w:rsidRPr="00962FE7" w:rsidRDefault="00962FE7" w:rsidP="00962FE7">
    <w:pPr>
      <w:tabs>
        <w:tab w:val="center" w:pos="4680"/>
        <w:tab w:val="right" w:pos="9360"/>
      </w:tabs>
      <w:spacing w:line="240" w:lineRule="auto"/>
      <w:ind w:firstLine="0"/>
      <w:rPr>
        <w:rFonts w:ascii="Calibri" w:hAnsi="Calibri" w:cs="Calibri"/>
        <w:kern w:val="0"/>
        <w:szCs w:val="24"/>
      </w:rPr>
    </w:pPr>
  </w:p>
  <w:p w14:paraId="4C29DBF1" w14:textId="77777777" w:rsidR="00962FE7" w:rsidRPr="00962FE7" w:rsidRDefault="00962FE7" w:rsidP="00962F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99FB3" w14:textId="77777777" w:rsidR="001C1297" w:rsidRDefault="001C12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3A73F" w14:textId="77777777" w:rsidR="004B2329" w:rsidRDefault="004B2329" w:rsidP="00962FE7">
      <w:pPr>
        <w:spacing w:line="240" w:lineRule="auto"/>
      </w:pPr>
      <w:r>
        <w:separator/>
      </w:r>
    </w:p>
  </w:footnote>
  <w:footnote w:type="continuationSeparator" w:id="0">
    <w:p w14:paraId="1C96422C" w14:textId="77777777" w:rsidR="004B2329" w:rsidRDefault="004B2329" w:rsidP="0096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C9DFA" w14:textId="77777777" w:rsidR="001C1297" w:rsidRDefault="001C12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677"/>
      <w:gridCol w:w="4678"/>
    </w:tblGrid>
    <w:tr w:rsidR="001C1297" w:rsidRPr="00962FE7" w14:paraId="37EEAB67" w14:textId="77777777" w:rsidTr="001C1297">
      <w:tc>
        <w:tcPr>
          <w:tcW w:w="5000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0A77FB41" w14:textId="47120BB4" w:rsidR="001C1297" w:rsidRPr="00962FE7" w:rsidRDefault="001C1297" w:rsidP="001C1297">
          <w:pPr>
            <w:spacing w:line="240" w:lineRule="auto"/>
            <w:ind w:firstLine="0"/>
            <w:jc w:val="center"/>
            <w:rPr>
              <w:rFonts w:ascii="Calibri" w:hAnsi="Calibri" w:cs="Calibri"/>
              <w:b/>
              <w:kern w:val="0"/>
              <w:szCs w:val="24"/>
            </w:rPr>
          </w:pPr>
          <w:r w:rsidRPr="00962FE7">
            <w:rPr>
              <w:rFonts w:ascii="Calibri" w:hAnsi="Calibri" w:cs="Calibri"/>
              <w:b/>
              <w:kern w:val="0"/>
              <w:szCs w:val="24"/>
            </w:rPr>
            <w:t>Board of Tax Appeals – Local Tax Division</w:t>
          </w:r>
        </w:p>
      </w:tc>
    </w:tr>
    <w:tr w:rsidR="00962FE7" w:rsidRPr="00962FE7" w14:paraId="53E0A2AB" w14:textId="77777777" w:rsidTr="001C1297">
      <w:tc>
        <w:tcPr>
          <w:tcW w:w="250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5A32707F" w14:textId="77777777" w:rsidR="00962FE7" w:rsidRPr="00962FE7" w:rsidRDefault="00962FE7" w:rsidP="00962FE7">
          <w:pPr>
            <w:spacing w:line="240" w:lineRule="auto"/>
            <w:ind w:firstLine="0"/>
            <w:jc w:val="right"/>
            <w:rPr>
              <w:rFonts w:ascii="Calibri" w:hAnsi="Calibri" w:cs="Calibri"/>
              <w:kern w:val="0"/>
              <w:szCs w:val="24"/>
            </w:rPr>
          </w:pPr>
          <w:r w:rsidRPr="00962FE7">
            <w:rPr>
              <w:rFonts w:ascii="Calibri" w:hAnsi="Calibri" w:cs="Calibri"/>
              <w:kern w:val="0"/>
              <w:szCs w:val="24"/>
            </w:rPr>
            <w:t xml:space="preserve"> </w:t>
          </w:r>
          <w:r>
            <w:rPr>
              <w:rFonts w:ascii="Calibri" w:hAnsi="Calibri" w:cs="Calibri"/>
              <w:kern w:val="0"/>
              <w:szCs w:val="24"/>
            </w:rPr>
            <w:t>09/29/2026</w:t>
          </w:r>
        </w:p>
      </w:tc>
      <w:tc>
        <w:tcPr>
          <w:tcW w:w="2500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C12AF6C" w14:textId="77777777" w:rsidR="00962FE7" w:rsidRPr="00962FE7" w:rsidRDefault="00962FE7" w:rsidP="00962FE7">
          <w:pPr>
            <w:spacing w:line="240" w:lineRule="auto"/>
            <w:ind w:firstLine="0"/>
            <w:jc w:val="left"/>
            <w:rPr>
              <w:rFonts w:ascii="Calibri" w:hAnsi="Calibri" w:cs="Calibri"/>
              <w:kern w:val="0"/>
              <w:szCs w:val="24"/>
            </w:rPr>
          </w:pPr>
          <w:r w:rsidRPr="00962FE7">
            <w:rPr>
              <w:rFonts w:ascii="Calibri" w:hAnsi="Calibri" w:cs="Calibri"/>
              <w:kern w:val="0"/>
              <w:szCs w:val="24"/>
            </w:rPr>
            <w:t xml:space="preserve"> </w:t>
          </w:r>
          <w:r>
            <w:rPr>
              <w:rFonts w:ascii="Calibri" w:hAnsi="Calibri" w:cs="Calibri"/>
              <w:kern w:val="0"/>
              <w:szCs w:val="24"/>
            </w:rPr>
            <w:t>1:00 PM</w:t>
          </w:r>
        </w:p>
      </w:tc>
    </w:tr>
  </w:tbl>
  <w:p w14:paraId="6BCD4B31" w14:textId="1A57D7B4" w:rsidR="00962FE7" w:rsidRPr="00962FE7" w:rsidRDefault="007B06B5" w:rsidP="00962FE7">
    <w:pPr>
      <w:pStyle w:val="Header"/>
    </w:pPr>
    <w:r w:rsidRPr="001C1297">
      <w:rPr>
        <w:b/>
        <w:noProof/>
      </w:rPr>
      <w:pict w14:anchorId="119050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6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BA2B9" w14:textId="77777777" w:rsidR="001C1297" w:rsidRDefault="001C12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E7"/>
    <w:rsid w:val="00053AC8"/>
    <w:rsid w:val="00095FB5"/>
    <w:rsid w:val="000A2464"/>
    <w:rsid w:val="001C1297"/>
    <w:rsid w:val="0027664D"/>
    <w:rsid w:val="004B2329"/>
    <w:rsid w:val="00624B99"/>
    <w:rsid w:val="006958BF"/>
    <w:rsid w:val="007B06B5"/>
    <w:rsid w:val="007C531D"/>
    <w:rsid w:val="00827000"/>
    <w:rsid w:val="008810A5"/>
    <w:rsid w:val="00881253"/>
    <w:rsid w:val="00894A75"/>
    <w:rsid w:val="00961038"/>
    <w:rsid w:val="00962FE7"/>
    <w:rsid w:val="00A81951"/>
    <w:rsid w:val="00AC6380"/>
    <w:rsid w:val="00CE5B5C"/>
    <w:rsid w:val="00D358C2"/>
    <w:rsid w:val="00DE54C8"/>
    <w:rsid w:val="00E25859"/>
    <w:rsid w:val="00E4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2C8DE"/>
  <w15:chartTrackingRefBased/>
  <w15:docId w15:val="{5F04969B-2B48-4FE2-847D-4277938E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Calibri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038"/>
    <w:pPr>
      <w:spacing w:line="480" w:lineRule="auto"/>
      <w:ind w:firstLine="720"/>
      <w:jc w:val="both"/>
    </w:pPr>
    <w:rPr>
      <w:rFonts w:ascii="Century Schoolbook" w:hAnsi="Century Schoolbook"/>
      <w:kern w:val="2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859"/>
    <w:pPr>
      <w:ind w:firstLine="0"/>
      <w:jc w:val="center"/>
      <w:outlineLvl w:val="0"/>
    </w:pPr>
    <w:rPr>
      <w:rFonts w:eastAsia="Aptos"/>
      <w:b/>
      <w:caps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859"/>
    <w:pPr>
      <w:keepNext/>
      <w:keepLines/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58C2"/>
    <w:pPr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FE7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FE7"/>
    <w:pPr>
      <w:keepNext/>
      <w:keepLines/>
      <w:spacing w:before="80" w:after="40"/>
      <w:outlineLvl w:val="4"/>
    </w:pPr>
    <w:rPr>
      <w:rFonts w:ascii="Aptos" w:eastAsia="Times New Roman" w:hAnsi="Aptos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FE7"/>
    <w:pPr>
      <w:keepNext/>
      <w:keepLines/>
      <w:spacing w:before="40"/>
      <w:outlineLvl w:val="5"/>
    </w:pPr>
    <w:rPr>
      <w:rFonts w:ascii="Aptos" w:eastAsia="Times New Roman" w:hAnsi="Aptos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FE7"/>
    <w:pPr>
      <w:keepNext/>
      <w:keepLines/>
      <w:spacing w:before="40"/>
      <w:outlineLvl w:val="6"/>
    </w:pPr>
    <w:rPr>
      <w:rFonts w:ascii="Aptos" w:eastAsia="Times New Roman" w:hAnsi="Aptos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FE7"/>
    <w:pPr>
      <w:keepNext/>
      <w:keepLines/>
      <w:outlineLvl w:val="7"/>
    </w:pPr>
    <w:rPr>
      <w:rFonts w:ascii="Aptos" w:eastAsia="Times New Roman" w:hAnsi="Aptos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FE7"/>
    <w:pPr>
      <w:keepNext/>
      <w:keepLines/>
      <w:outlineLvl w:val="8"/>
    </w:pPr>
    <w:rPr>
      <w:rFonts w:ascii="Aptos" w:eastAsia="Times New Roman" w:hAnsi="Aptos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25859"/>
    <w:rPr>
      <w:rFonts w:ascii="Century Schoolbook" w:eastAsia="Aptos" w:hAnsi="Century Schoolbook"/>
      <w:b/>
      <w:caps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E25859"/>
    <w:rPr>
      <w:rFonts w:ascii="Century Schoolbook" w:eastAsia="Times New Roman" w:hAnsi="Century Schoolbook" w:cs="Times New Roman"/>
      <w:b/>
      <w:i/>
      <w:sz w:val="24"/>
      <w:szCs w:val="26"/>
    </w:rPr>
  </w:style>
  <w:style w:type="paragraph" w:styleId="NoSpacing">
    <w:name w:val="No Spacing"/>
    <w:basedOn w:val="Subtitle"/>
    <w:uiPriority w:val="1"/>
    <w:qFormat/>
    <w:rsid w:val="00CE5B5C"/>
    <w:pPr>
      <w:numPr>
        <w:ilvl w:val="0"/>
      </w:numPr>
      <w:spacing w:after="0" w:line="240" w:lineRule="auto"/>
      <w:ind w:firstLine="720"/>
      <w:jc w:val="center"/>
      <w:outlineLvl w:val="1"/>
    </w:pPr>
    <w:rPr>
      <w:rFonts w:ascii="Aptos Display" w:hAnsi="Aptos Display"/>
      <w:color w:val="auto"/>
      <w:spacing w:val="-5"/>
      <w:kern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B5C"/>
    <w:pPr>
      <w:numPr>
        <w:ilvl w:val="1"/>
      </w:numPr>
      <w:spacing w:after="160"/>
      <w:ind w:firstLine="720"/>
    </w:pPr>
    <w:rPr>
      <w:rFonts w:ascii="Aptos" w:eastAsia="Times New Roman" w:hAnsi="Aptos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CE5B5C"/>
    <w:rPr>
      <w:rFonts w:eastAsia="Times New Roman" w:cs="Times New Roman"/>
      <w:color w:val="595959"/>
      <w:spacing w:val="15"/>
      <w:sz w:val="28"/>
      <w:szCs w:val="28"/>
    </w:rPr>
  </w:style>
  <w:style w:type="character" w:styleId="Strong">
    <w:name w:val="Strong"/>
    <w:aliases w:val="Captions"/>
    <w:uiPriority w:val="22"/>
    <w:qFormat/>
    <w:rsid w:val="00E41D80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E41D80"/>
    <w:pPr>
      <w:ind w:firstLine="0"/>
      <w:jc w:val="center"/>
    </w:pPr>
    <w:rPr>
      <w:b/>
      <w:bCs/>
    </w:rPr>
  </w:style>
  <w:style w:type="character" w:customStyle="1" w:styleId="TitleChar">
    <w:name w:val="Title Char"/>
    <w:link w:val="Title"/>
    <w:uiPriority w:val="10"/>
    <w:rsid w:val="00E41D80"/>
    <w:rPr>
      <w:rFonts w:ascii="Century Schoolbook" w:hAnsi="Century Schoolbook" w:cs="Times New Roman"/>
      <w:b/>
      <w:bCs/>
      <w:sz w:val="24"/>
    </w:rPr>
  </w:style>
  <w:style w:type="character" w:customStyle="1" w:styleId="Heading3Char">
    <w:name w:val="Heading 3 Char"/>
    <w:link w:val="Heading3"/>
    <w:uiPriority w:val="9"/>
    <w:rsid w:val="00D358C2"/>
    <w:rPr>
      <w:rFonts w:ascii="Century Schoolbook" w:hAnsi="Century Schoolbook" w:cs="Times New Roman"/>
      <w:i/>
      <w:iCs/>
      <w:sz w:val="24"/>
      <w:u w:val="single"/>
    </w:rPr>
  </w:style>
  <w:style w:type="paragraph" w:styleId="Quote">
    <w:name w:val="Quote"/>
    <w:aliases w:val="BlockQuote"/>
    <w:basedOn w:val="Normal"/>
    <w:next w:val="Normal"/>
    <w:link w:val="QuoteChar"/>
    <w:uiPriority w:val="29"/>
    <w:qFormat/>
    <w:rsid w:val="00D358C2"/>
    <w:pPr>
      <w:spacing w:line="240" w:lineRule="auto"/>
      <w:ind w:left="720" w:right="720" w:firstLine="0"/>
    </w:pPr>
  </w:style>
  <w:style w:type="character" w:customStyle="1" w:styleId="QuoteChar">
    <w:name w:val="Quote Char"/>
    <w:aliases w:val="BlockQuote Char"/>
    <w:link w:val="Quote"/>
    <w:uiPriority w:val="29"/>
    <w:rsid w:val="00D358C2"/>
    <w:rPr>
      <w:rFonts w:ascii="Century Schoolbook" w:hAnsi="Century Schoolbook" w:cs="Times New Roman"/>
      <w:sz w:val="24"/>
    </w:rPr>
  </w:style>
  <w:style w:type="character" w:customStyle="1" w:styleId="Heading4Char">
    <w:name w:val="Heading 4 Char"/>
    <w:link w:val="Heading4"/>
    <w:uiPriority w:val="9"/>
    <w:semiHidden/>
    <w:rsid w:val="00962FE7"/>
    <w:rPr>
      <w:rFonts w:eastAsia="Times New Roman" w:cs="Times New Roman"/>
      <w:i/>
      <w:iCs/>
      <w:color w:val="2E74B5"/>
      <w:sz w:val="24"/>
    </w:rPr>
  </w:style>
  <w:style w:type="character" w:customStyle="1" w:styleId="Heading5Char">
    <w:name w:val="Heading 5 Char"/>
    <w:link w:val="Heading5"/>
    <w:uiPriority w:val="9"/>
    <w:semiHidden/>
    <w:rsid w:val="00962FE7"/>
    <w:rPr>
      <w:rFonts w:eastAsia="Times New Roman" w:cs="Times New Roman"/>
      <w:color w:val="2E74B5"/>
      <w:sz w:val="24"/>
    </w:rPr>
  </w:style>
  <w:style w:type="character" w:customStyle="1" w:styleId="Heading6Char">
    <w:name w:val="Heading 6 Char"/>
    <w:link w:val="Heading6"/>
    <w:uiPriority w:val="9"/>
    <w:semiHidden/>
    <w:rsid w:val="00962FE7"/>
    <w:rPr>
      <w:rFonts w:eastAsia="Times New Roman" w:cs="Times New Roman"/>
      <w:i/>
      <w:iCs/>
      <w:color w:val="595959"/>
      <w:sz w:val="24"/>
    </w:rPr>
  </w:style>
  <w:style w:type="character" w:customStyle="1" w:styleId="Heading7Char">
    <w:name w:val="Heading 7 Char"/>
    <w:link w:val="Heading7"/>
    <w:uiPriority w:val="9"/>
    <w:semiHidden/>
    <w:rsid w:val="00962FE7"/>
    <w:rPr>
      <w:rFonts w:eastAsia="Times New Roman" w:cs="Times New Roman"/>
      <w:color w:val="595959"/>
      <w:sz w:val="24"/>
    </w:rPr>
  </w:style>
  <w:style w:type="character" w:customStyle="1" w:styleId="Heading8Char">
    <w:name w:val="Heading 8 Char"/>
    <w:link w:val="Heading8"/>
    <w:uiPriority w:val="9"/>
    <w:semiHidden/>
    <w:rsid w:val="00962FE7"/>
    <w:rPr>
      <w:rFonts w:eastAsia="Times New Roman" w:cs="Times New Roman"/>
      <w:i/>
      <w:iCs/>
      <w:color w:val="272727"/>
      <w:sz w:val="24"/>
    </w:rPr>
  </w:style>
  <w:style w:type="character" w:customStyle="1" w:styleId="Heading9Char">
    <w:name w:val="Heading 9 Char"/>
    <w:link w:val="Heading9"/>
    <w:uiPriority w:val="9"/>
    <w:semiHidden/>
    <w:rsid w:val="00962FE7"/>
    <w:rPr>
      <w:rFonts w:eastAsia="Times New Roman" w:cs="Times New Roman"/>
      <w:color w:val="272727"/>
      <w:sz w:val="24"/>
    </w:rPr>
  </w:style>
  <w:style w:type="paragraph" w:styleId="ListParagraph">
    <w:name w:val="List Paragraph"/>
    <w:basedOn w:val="Normal"/>
    <w:uiPriority w:val="34"/>
    <w:qFormat/>
    <w:rsid w:val="00962FE7"/>
    <w:pPr>
      <w:ind w:left="720"/>
      <w:contextualSpacing/>
    </w:pPr>
  </w:style>
  <w:style w:type="character" w:styleId="IntenseEmphasis">
    <w:name w:val="Intense Emphasis"/>
    <w:uiPriority w:val="21"/>
    <w:qFormat/>
    <w:rsid w:val="00962FE7"/>
    <w:rPr>
      <w:i/>
      <w:iCs/>
      <w:color w:val="2E74B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FE7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IntenseQuoteChar">
    <w:name w:val="Intense Quote Char"/>
    <w:link w:val="IntenseQuote"/>
    <w:uiPriority w:val="30"/>
    <w:rsid w:val="00962FE7"/>
    <w:rPr>
      <w:rFonts w:ascii="Century Schoolbook" w:hAnsi="Century Schoolbook" w:cs="Times New Roman"/>
      <w:i/>
      <w:iCs/>
      <w:color w:val="2E74B5"/>
      <w:sz w:val="24"/>
    </w:rPr>
  </w:style>
  <w:style w:type="character" w:styleId="IntenseReference">
    <w:name w:val="Intense Reference"/>
    <w:uiPriority w:val="32"/>
    <w:qFormat/>
    <w:rsid w:val="00962FE7"/>
    <w:rPr>
      <w:b/>
      <w:bCs/>
      <w:smallCaps/>
      <w:color w:val="2E74B5"/>
      <w:spacing w:val="5"/>
    </w:rPr>
  </w:style>
  <w:style w:type="character" w:styleId="CommentReference">
    <w:name w:val="annotation reference"/>
    <w:uiPriority w:val="99"/>
    <w:semiHidden/>
    <w:unhideWhenUsed/>
    <w:rsid w:val="00962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FE7"/>
    <w:pPr>
      <w:spacing w:line="240" w:lineRule="auto"/>
      <w:ind w:firstLine="0"/>
    </w:pPr>
    <w:rPr>
      <w:rFonts w:ascii="Calibri" w:hAnsi="Calibri" w:cs="Calibri"/>
      <w:kern w:val="0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62FE7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62FE7"/>
    <w:pPr>
      <w:tabs>
        <w:tab w:val="center" w:pos="4680"/>
        <w:tab w:val="right" w:pos="9360"/>
      </w:tabs>
      <w:spacing w:line="240" w:lineRule="auto"/>
      <w:ind w:firstLine="0"/>
    </w:pPr>
    <w:rPr>
      <w:rFonts w:ascii="Calibri" w:hAnsi="Calibri" w:cs="Calibri"/>
      <w:kern w:val="0"/>
      <w:szCs w:val="24"/>
    </w:rPr>
  </w:style>
  <w:style w:type="character" w:customStyle="1" w:styleId="HeaderChar">
    <w:name w:val="Header Char"/>
    <w:link w:val="Header"/>
    <w:uiPriority w:val="99"/>
    <w:rsid w:val="00962FE7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2FE7"/>
    <w:pPr>
      <w:tabs>
        <w:tab w:val="center" w:pos="4680"/>
        <w:tab w:val="right" w:pos="9360"/>
      </w:tabs>
      <w:spacing w:line="240" w:lineRule="auto"/>
      <w:ind w:firstLine="0"/>
    </w:pPr>
    <w:rPr>
      <w:rFonts w:ascii="Calibri" w:hAnsi="Calibri" w:cs="Calibri"/>
      <w:kern w:val="0"/>
      <w:szCs w:val="24"/>
    </w:rPr>
  </w:style>
  <w:style w:type="character" w:customStyle="1" w:styleId="FooterChar">
    <w:name w:val="Footer Char"/>
    <w:link w:val="Footer"/>
    <w:uiPriority w:val="99"/>
    <w:rsid w:val="00962FE7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Bardwell</dc:creator>
  <cp:keywords/>
  <dc:description/>
  <cp:lastModifiedBy>Michael Bardwell</cp:lastModifiedBy>
  <cp:revision>2</cp:revision>
  <dcterms:created xsi:type="dcterms:W3CDTF">2026-09-08T17:13:00Z</dcterms:created>
  <dcterms:modified xsi:type="dcterms:W3CDTF">2026-09-08T17:13:00Z</dcterms:modified>
</cp:coreProperties>
</file>